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22EB" w:rsidRPr="009922EB" w:rsidRDefault="009922EB" w:rsidP="009922EB">
      <w:pPr>
        <w:spacing w:after="0" w:line="240" w:lineRule="auto"/>
        <w:jc w:val="both"/>
        <w:rPr>
          <w:rFonts w:ascii="Times New Roman" w:eastAsia="Times New Roman" w:hAnsi="Times New Roman" w:cs="Times New Roman"/>
          <w:sz w:val="24"/>
          <w:szCs w:val="24"/>
          <w:lang w:eastAsia="es-CO"/>
        </w:rPr>
      </w:pPr>
      <w:bookmarkStart w:id="0" w:name="_GoBack"/>
      <w:bookmarkEnd w:id="0"/>
    </w:p>
    <w:p w:rsidR="009922EB" w:rsidRPr="009922EB" w:rsidRDefault="009922EB" w:rsidP="009922EB">
      <w:pPr>
        <w:spacing w:after="0" w:line="240" w:lineRule="auto"/>
        <w:jc w:val="both"/>
        <w:rPr>
          <w:rFonts w:ascii="Times New Roman" w:eastAsia="Times New Roman" w:hAnsi="Times New Roman" w:cs="Times New Roman"/>
          <w:sz w:val="24"/>
          <w:szCs w:val="24"/>
          <w:lang w:eastAsia="es-CO"/>
        </w:rPr>
      </w:pPr>
    </w:p>
    <w:p w:rsidR="009922EB" w:rsidRPr="009922EB" w:rsidRDefault="009922EB" w:rsidP="009922EB">
      <w:pPr>
        <w:spacing w:after="0" w:line="240" w:lineRule="auto"/>
        <w:jc w:val="center"/>
        <w:rPr>
          <w:rFonts w:ascii="Times New Roman" w:eastAsia="Times New Roman" w:hAnsi="Times New Roman" w:cs="Times New Roman"/>
          <w:sz w:val="24"/>
          <w:szCs w:val="24"/>
          <w:lang w:eastAsia="es-CO"/>
        </w:rPr>
      </w:pPr>
      <w:r w:rsidRPr="009922EB">
        <w:rPr>
          <w:rFonts w:ascii="Times New Roman" w:eastAsia="Times New Roman" w:hAnsi="Times New Roman" w:cs="Times New Roman"/>
          <w:b/>
          <w:bCs/>
          <w:sz w:val="24"/>
          <w:szCs w:val="24"/>
          <w:lang w:eastAsia="es-CO"/>
        </w:rPr>
        <w:br/>
        <w:t xml:space="preserve">OFICIO </w:t>
      </w:r>
      <w:proofErr w:type="spellStart"/>
      <w:r w:rsidRPr="009922EB">
        <w:rPr>
          <w:rFonts w:ascii="Times New Roman" w:eastAsia="Times New Roman" w:hAnsi="Times New Roman" w:cs="Times New Roman"/>
          <w:b/>
          <w:bCs/>
          <w:sz w:val="24"/>
          <w:szCs w:val="24"/>
          <w:lang w:eastAsia="es-CO"/>
        </w:rPr>
        <w:t>Nº</w:t>
      </w:r>
      <w:proofErr w:type="spellEnd"/>
      <w:r w:rsidRPr="009922EB">
        <w:rPr>
          <w:rFonts w:ascii="Times New Roman" w:eastAsia="Times New Roman" w:hAnsi="Times New Roman" w:cs="Times New Roman"/>
          <w:b/>
          <w:bCs/>
          <w:sz w:val="24"/>
          <w:szCs w:val="24"/>
          <w:lang w:eastAsia="es-CO"/>
        </w:rPr>
        <w:t xml:space="preserve"> 1807 [018951]</w:t>
      </w:r>
    </w:p>
    <w:p w:rsidR="009922EB" w:rsidRPr="009922EB" w:rsidRDefault="009922EB" w:rsidP="009922EB">
      <w:pPr>
        <w:spacing w:after="0" w:line="240" w:lineRule="auto"/>
        <w:jc w:val="center"/>
        <w:rPr>
          <w:rFonts w:ascii="Times New Roman" w:eastAsia="Times New Roman" w:hAnsi="Times New Roman" w:cs="Times New Roman"/>
          <w:sz w:val="24"/>
          <w:szCs w:val="24"/>
          <w:lang w:eastAsia="es-CO"/>
        </w:rPr>
      </w:pPr>
      <w:r w:rsidRPr="009922EB">
        <w:rPr>
          <w:rFonts w:ascii="Times New Roman" w:eastAsia="Times New Roman" w:hAnsi="Times New Roman" w:cs="Times New Roman"/>
          <w:b/>
          <w:bCs/>
          <w:sz w:val="24"/>
          <w:szCs w:val="24"/>
          <w:lang w:eastAsia="es-CO"/>
        </w:rPr>
        <w:t>23-07-2019</w:t>
      </w:r>
    </w:p>
    <w:p w:rsidR="009922EB" w:rsidRPr="009922EB" w:rsidRDefault="009922EB" w:rsidP="009922EB">
      <w:pPr>
        <w:spacing w:after="0" w:line="240" w:lineRule="auto"/>
        <w:jc w:val="center"/>
        <w:rPr>
          <w:rFonts w:ascii="Times New Roman" w:eastAsia="Times New Roman" w:hAnsi="Times New Roman" w:cs="Times New Roman"/>
          <w:sz w:val="24"/>
          <w:szCs w:val="24"/>
          <w:lang w:eastAsia="es-CO"/>
        </w:rPr>
      </w:pPr>
      <w:r w:rsidRPr="009922EB">
        <w:rPr>
          <w:rFonts w:ascii="Times New Roman" w:eastAsia="Times New Roman" w:hAnsi="Times New Roman" w:cs="Times New Roman"/>
          <w:b/>
          <w:bCs/>
          <w:sz w:val="24"/>
          <w:szCs w:val="24"/>
          <w:lang w:eastAsia="es-CO"/>
        </w:rPr>
        <w:t>DIAN</w:t>
      </w:r>
    </w:p>
    <w:p w:rsidR="009922EB" w:rsidRPr="009922EB" w:rsidRDefault="009922EB" w:rsidP="009922EB">
      <w:pPr>
        <w:spacing w:after="0" w:line="240" w:lineRule="auto"/>
        <w:jc w:val="both"/>
        <w:rPr>
          <w:rFonts w:ascii="Times New Roman" w:eastAsia="Times New Roman" w:hAnsi="Times New Roman" w:cs="Times New Roman"/>
          <w:sz w:val="24"/>
          <w:szCs w:val="24"/>
          <w:lang w:eastAsia="es-CO"/>
        </w:rPr>
      </w:pPr>
      <w:r w:rsidRPr="009922EB">
        <w:rPr>
          <w:rFonts w:ascii="Times New Roman" w:eastAsia="Times New Roman" w:hAnsi="Times New Roman" w:cs="Times New Roman"/>
          <w:b/>
          <w:bCs/>
          <w:sz w:val="24"/>
          <w:szCs w:val="24"/>
          <w:lang w:eastAsia="es-CO"/>
        </w:rPr>
        <w:t> </w:t>
      </w:r>
    </w:p>
    <w:p w:rsidR="009922EB" w:rsidRPr="009922EB" w:rsidRDefault="009922EB" w:rsidP="009922EB">
      <w:pPr>
        <w:spacing w:after="0" w:line="240" w:lineRule="auto"/>
        <w:jc w:val="both"/>
        <w:rPr>
          <w:rFonts w:ascii="Times New Roman" w:eastAsia="Times New Roman" w:hAnsi="Times New Roman" w:cs="Times New Roman"/>
          <w:sz w:val="24"/>
          <w:szCs w:val="24"/>
          <w:lang w:eastAsia="es-CO"/>
        </w:rPr>
      </w:pPr>
      <w:r w:rsidRPr="009922EB">
        <w:rPr>
          <w:rFonts w:ascii="Times New Roman" w:eastAsia="Times New Roman" w:hAnsi="Times New Roman" w:cs="Times New Roman"/>
          <w:b/>
          <w:bCs/>
          <w:sz w:val="24"/>
          <w:szCs w:val="24"/>
          <w:lang w:eastAsia="es-CO"/>
        </w:rPr>
        <w:t> </w:t>
      </w:r>
    </w:p>
    <w:p w:rsidR="009922EB" w:rsidRPr="009922EB" w:rsidRDefault="009922EB" w:rsidP="009922EB">
      <w:pPr>
        <w:spacing w:after="0" w:line="240" w:lineRule="auto"/>
        <w:jc w:val="both"/>
        <w:rPr>
          <w:rFonts w:ascii="Times New Roman" w:eastAsia="Times New Roman" w:hAnsi="Times New Roman" w:cs="Times New Roman"/>
          <w:sz w:val="24"/>
          <w:szCs w:val="24"/>
          <w:lang w:eastAsia="es-CO"/>
        </w:rPr>
      </w:pPr>
      <w:r w:rsidRPr="009922EB">
        <w:rPr>
          <w:rFonts w:ascii="Times New Roman" w:eastAsia="Times New Roman" w:hAnsi="Times New Roman" w:cs="Times New Roman"/>
          <w:sz w:val="24"/>
          <w:szCs w:val="24"/>
          <w:lang w:eastAsia="es-CO"/>
        </w:rPr>
        <w:t>Subdirección de Gestión Normativa y Doctrina</w:t>
      </w:r>
    </w:p>
    <w:p w:rsidR="009922EB" w:rsidRPr="009922EB" w:rsidRDefault="009922EB" w:rsidP="009922EB">
      <w:pPr>
        <w:spacing w:after="0" w:line="240" w:lineRule="auto"/>
        <w:jc w:val="both"/>
        <w:rPr>
          <w:rFonts w:ascii="Times New Roman" w:eastAsia="Times New Roman" w:hAnsi="Times New Roman" w:cs="Times New Roman"/>
          <w:sz w:val="24"/>
          <w:szCs w:val="24"/>
          <w:lang w:eastAsia="es-CO"/>
        </w:rPr>
      </w:pPr>
      <w:r w:rsidRPr="009922EB">
        <w:rPr>
          <w:rFonts w:ascii="Times New Roman" w:eastAsia="Times New Roman" w:hAnsi="Times New Roman" w:cs="Times New Roman"/>
          <w:sz w:val="24"/>
          <w:szCs w:val="24"/>
          <w:lang w:eastAsia="es-CO"/>
        </w:rPr>
        <w:t>100208221 – 001807</w:t>
      </w:r>
    </w:p>
    <w:p w:rsidR="009922EB" w:rsidRPr="009922EB" w:rsidRDefault="009922EB" w:rsidP="009922EB">
      <w:pPr>
        <w:spacing w:after="0" w:line="240" w:lineRule="auto"/>
        <w:jc w:val="both"/>
        <w:rPr>
          <w:rFonts w:ascii="Times New Roman" w:eastAsia="Times New Roman" w:hAnsi="Times New Roman" w:cs="Times New Roman"/>
          <w:sz w:val="24"/>
          <w:szCs w:val="24"/>
          <w:lang w:eastAsia="es-CO"/>
        </w:rPr>
      </w:pPr>
      <w:r w:rsidRPr="009922EB">
        <w:rPr>
          <w:rFonts w:ascii="Times New Roman" w:eastAsia="Times New Roman" w:hAnsi="Times New Roman" w:cs="Times New Roman"/>
          <w:sz w:val="24"/>
          <w:szCs w:val="24"/>
          <w:lang w:eastAsia="es-CO"/>
        </w:rPr>
        <w:t>Bogotá, D.C.</w:t>
      </w:r>
    </w:p>
    <w:p w:rsidR="009922EB" w:rsidRPr="009922EB" w:rsidRDefault="009922EB" w:rsidP="009922EB">
      <w:pPr>
        <w:spacing w:after="0" w:line="240" w:lineRule="auto"/>
        <w:jc w:val="both"/>
        <w:rPr>
          <w:rFonts w:ascii="Times New Roman" w:eastAsia="Times New Roman" w:hAnsi="Times New Roman" w:cs="Times New Roman"/>
          <w:sz w:val="24"/>
          <w:szCs w:val="24"/>
          <w:lang w:eastAsia="es-CO"/>
        </w:rPr>
      </w:pPr>
      <w:r w:rsidRPr="009922EB">
        <w:rPr>
          <w:rFonts w:ascii="Times New Roman" w:eastAsia="Times New Roman" w:hAnsi="Times New Roman" w:cs="Times New Roman"/>
          <w:sz w:val="24"/>
          <w:szCs w:val="24"/>
          <w:lang w:eastAsia="es-CO"/>
        </w:rPr>
        <w:t> </w:t>
      </w:r>
    </w:p>
    <w:p w:rsidR="009922EB" w:rsidRPr="009922EB" w:rsidRDefault="009922EB" w:rsidP="009922EB">
      <w:pPr>
        <w:spacing w:after="0" w:line="240" w:lineRule="auto"/>
        <w:jc w:val="both"/>
        <w:rPr>
          <w:rFonts w:ascii="Times New Roman" w:eastAsia="Times New Roman" w:hAnsi="Times New Roman" w:cs="Times New Roman"/>
          <w:sz w:val="24"/>
          <w:szCs w:val="24"/>
          <w:lang w:eastAsia="es-CO"/>
        </w:rPr>
      </w:pPr>
      <w:proofErr w:type="spellStart"/>
      <w:r w:rsidRPr="009922EB">
        <w:rPr>
          <w:rFonts w:ascii="Times New Roman" w:eastAsia="Times New Roman" w:hAnsi="Times New Roman" w:cs="Times New Roman"/>
          <w:b/>
          <w:bCs/>
          <w:sz w:val="24"/>
          <w:szCs w:val="24"/>
          <w:lang w:eastAsia="es-CO"/>
        </w:rPr>
        <w:t>Ref</w:t>
      </w:r>
      <w:proofErr w:type="spellEnd"/>
      <w:r w:rsidRPr="009922EB">
        <w:rPr>
          <w:rFonts w:ascii="Times New Roman" w:eastAsia="Times New Roman" w:hAnsi="Times New Roman" w:cs="Times New Roman"/>
          <w:b/>
          <w:bCs/>
          <w:sz w:val="24"/>
          <w:szCs w:val="24"/>
          <w:lang w:eastAsia="es-CO"/>
        </w:rPr>
        <w:t>: </w:t>
      </w:r>
      <w:r w:rsidRPr="009922EB">
        <w:rPr>
          <w:rFonts w:ascii="Times New Roman" w:eastAsia="Times New Roman" w:hAnsi="Times New Roman" w:cs="Times New Roman"/>
          <w:sz w:val="24"/>
          <w:szCs w:val="24"/>
          <w:lang w:eastAsia="es-CO"/>
        </w:rPr>
        <w:t>Radicado 100025660 del 23/04/2019</w:t>
      </w:r>
    </w:p>
    <w:p w:rsidR="009922EB" w:rsidRPr="009922EB" w:rsidRDefault="009922EB" w:rsidP="009922EB">
      <w:pPr>
        <w:spacing w:after="0" w:line="240" w:lineRule="auto"/>
        <w:jc w:val="both"/>
        <w:rPr>
          <w:rFonts w:ascii="Times New Roman" w:eastAsia="Times New Roman" w:hAnsi="Times New Roman" w:cs="Times New Roman"/>
          <w:sz w:val="24"/>
          <w:szCs w:val="24"/>
          <w:lang w:eastAsia="es-CO"/>
        </w:rPr>
      </w:pPr>
      <w:r w:rsidRPr="009922EB">
        <w:rPr>
          <w:rFonts w:ascii="Times New Roman" w:eastAsia="Times New Roman" w:hAnsi="Times New Roman" w:cs="Times New Roman"/>
          <w:sz w:val="24"/>
          <w:szCs w:val="24"/>
          <w:lang w:eastAsia="es-CO"/>
        </w:rPr>
        <w:t> </w:t>
      </w:r>
    </w:p>
    <w:p w:rsidR="009922EB" w:rsidRPr="009922EB" w:rsidRDefault="009922EB" w:rsidP="009922EB">
      <w:pPr>
        <w:spacing w:after="0" w:line="240" w:lineRule="auto"/>
        <w:jc w:val="both"/>
        <w:rPr>
          <w:rFonts w:ascii="Times New Roman" w:eastAsia="Times New Roman" w:hAnsi="Times New Roman" w:cs="Times New Roman"/>
          <w:sz w:val="24"/>
          <w:szCs w:val="24"/>
          <w:lang w:eastAsia="es-CO"/>
        </w:rPr>
      </w:pPr>
      <w:r w:rsidRPr="009922EB">
        <w:rPr>
          <w:rFonts w:ascii="Times New Roman" w:eastAsia="Times New Roman" w:hAnsi="Times New Roman" w:cs="Times New Roman"/>
          <w:sz w:val="24"/>
          <w:szCs w:val="24"/>
          <w:lang w:eastAsia="es-CO"/>
        </w:rPr>
        <w:t>Cordial saludo, Señor Granados:</w:t>
      </w:r>
    </w:p>
    <w:p w:rsidR="009922EB" w:rsidRPr="009922EB" w:rsidRDefault="009922EB" w:rsidP="009922EB">
      <w:pPr>
        <w:spacing w:after="0" w:line="240" w:lineRule="auto"/>
        <w:jc w:val="both"/>
        <w:rPr>
          <w:rFonts w:ascii="Times New Roman" w:eastAsia="Times New Roman" w:hAnsi="Times New Roman" w:cs="Times New Roman"/>
          <w:sz w:val="24"/>
          <w:szCs w:val="24"/>
          <w:lang w:eastAsia="es-CO"/>
        </w:rPr>
      </w:pPr>
      <w:r w:rsidRPr="009922EB">
        <w:rPr>
          <w:rFonts w:ascii="Times New Roman" w:eastAsia="Times New Roman" w:hAnsi="Times New Roman" w:cs="Times New Roman"/>
          <w:sz w:val="24"/>
          <w:szCs w:val="24"/>
          <w:lang w:eastAsia="es-CO"/>
        </w:rPr>
        <w:t> </w:t>
      </w:r>
    </w:p>
    <w:p w:rsidR="009922EB" w:rsidRPr="009922EB" w:rsidRDefault="009922EB" w:rsidP="009922EB">
      <w:pPr>
        <w:spacing w:after="0" w:line="240" w:lineRule="auto"/>
        <w:jc w:val="both"/>
        <w:rPr>
          <w:rFonts w:ascii="Times New Roman" w:eastAsia="Times New Roman" w:hAnsi="Times New Roman" w:cs="Times New Roman"/>
          <w:sz w:val="24"/>
          <w:szCs w:val="24"/>
          <w:lang w:eastAsia="es-CO"/>
        </w:rPr>
      </w:pPr>
      <w:r w:rsidRPr="009922EB">
        <w:rPr>
          <w:rFonts w:ascii="Times New Roman" w:eastAsia="Times New Roman" w:hAnsi="Times New Roman" w:cs="Times New Roman"/>
          <w:sz w:val="24"/>
          <w:szCs w:val="24"/>
          <w:lang w:eastAsia="es-CO"/>
        </w:rPr>
        <w:t>De conformidad con lo preceptuado en el artículo 20 del Decreto 4048 de 2008 este Despacho está facultado para resolver las consultas que se formulen sobre la interpretación y aplicación de las normas tributarias, aduaneras y cambiarias, en el marco de la competencia asignada a la Dirección de Impuestos y Aduanas Nacionales.</w:t>
      </w:r>
    </w:p>
    <w:p w:rsidR="009922EB" w:rsidRPr="009922EB" w:rsidRDefault="009922EB" w:rsidP="009922EB">
      <w:pPr>
        <w:spacing w:after="0" w:line="240" w:lineRule="auto"/>
        <w:jc w:val="both"/>
        <w:rPr>
          <w:rFonts w:ascii="Times New Roman" w:eastAsia="Times New Roman" w:hAnsi="Times New Roman" w:cs="Times New Roman"/>
          <w:sz w:val="24"/>
          <w:szCs w:val="24"/>
          <w:lang w:eastAsia="es-CO"/>
        </w:rPr>
      </w:pPr>
      <w:r w:rsidRPr="009922EB">
        <w:rPr>
          <w:rFonts w:ascii="Times New Roman" w:eastAsia="Times New Roman" w:hAnsi="Times New Roman" w:cs="Times New Roman"/>
          <w:sz w:val="24"/>
          <w:szCs w:val="24"/>
          <w:lang w:eastAsia="es-CO"/>
        </w:rPr>
        <w:t> </w:t>
      </w:r>
    </w:p>
    <w:p w:rsidR="009922EB" w:rsidRPr="009922EB" w:rsidRDefault="009922EB" w:rsidP="009922EB">
      <w:pPr>
        <w:spacing w:after="0" w:line="240" w:lineRule="auto"/>
        <w:jc w:val="both"/>
        <w:rPr>
          <w:rFonts w:ascii="Times New Roman" w:eastAsia="Times New Roman" w:hAnsi="Times New Roman" w:cs="Times New Roman"/>
          <w:sz w:val="24"/>
          <w:szCs w:val="24"/>
          <w:lang w:eastAsia="es-CO"/>
        </w:rPr>
      </w:pPr>
      <w:r w:rsidRPr="009922EB">
        <w:rPr>
          <w:rFonts w:ascii="Times New Roman" w:eastAsia="Times New Roman" w:hAnsi="Times New Roman" w:cs="Times New Roman"/>
          <w:sz w:val="24"/>
          <w:szCs w:val="24"/>
          <w:lang w:eastAsia="es-CO"/>
        </w:rPr>
        <w:t>Corresponde explicar que las facultades de esta dependencia se concretan en la interpretación de las normas atrás mencionadas, razón por la cual no corresponde en ejercicio de dichas funciones prestar asesoría específica para atender casos particulares que son tramitados ante otras dependencias o entidades ni juzgar o calificar las decisiones tomadas en las mismas.</w:t>
      </w:r>
    </w:p>
    <w:p w:rsidR="009922EB" w:rsidRPr="009922EB" w:rsidRDefault="009922EB" w:rsidP="009922EB">
      <w:pPr>
        <w:spacing w:after="0" w:line="240" w:lineRule="auto"/>
        <w:jc w:val="both"/>
        <w:rPr>
          <w:rFonts w:ascii="Times New Roman" w:eastAsia="Times New Roman" w:hAnsi="Times New Roman" w:cs="Times New Roman"/>
          <w:sz w:val="24"/>
          <w:szCs w:val="24"/>
          <w:lang w:eastAsia="es-CO"/>
        </w:rPr>
      </w:pPr>
      <w:r w:rsidRPr="009922EB">
        <w:rPr>
          <w:rFonts w:ascii="Times New Roman" w:eastAsia="Times New Roman" w:hAnsi="Times New Roman" w:cs="Times New Roman"/>
          <w:sz w:val="24"/>
          <w:szCs w:val="24"/>
          <w:lang w:eastAsia="es-CO"/>
        </w:rPr>
        <w:t> </w:t>
      </w:r>
    </w:p>
    <w:p w:rsidR="009922EB" w:rsidRPr="009922EB" w:rsidRDefault="009922EB" w:rsidP="009922EB">
      <w:pPr>
        <w:spacing w:after="0" w:line="240" w:lineRule="auto"/>
        <w:jc w:val="both"/>
        <w:rPr>
          <w:rFonts w:ascii="Times New Roman" w:eastAsia="Times New Roman" w:hAnsi="Times New Roman" w:cs="Times New Roman"/>
          <w:sz w:val="24"/>
          <w:szCs w:val="24"/>
          <w:lang w:eastAsia="es-CO"/>
        </w:rPr>
      </w:pPr>
      <w:r w:rsidRPr="009922EB">
        <w:rPr>
          <w:rFonts w:ascii="Times New Roman" w:eastAsia="Times New Roman" w:hAnsi="Times New Roman" w:cs="Times New Roman"/>
          <w:sz w:val="24"/>
          <w:szCs w:val="24"/>
          <w:lang w:eastAsia="es-CO"/>
        </w:rPr>
        <w:t>En atención a la consulta, manifestamos lo siguiente:</w:t>
      </w:r>
    </w:p>
    <w:p w:rsidR="009922EB" w:rsidRPr="009922EB" w:rsidRDefault="009922EB" w:rsidP="009922EB">
      <w:pPr>
        <w:spacing w:after="0" w:line="240" w:lineRule="auto"/>
        <w:jc w:val="both"/>
        <w:rPr>
          <w:rFonts w:ascii="Times New Roman" w:eastAsia="Times New Roman" w:hAnsi="Times New Roman" w:cs="Times New Roman"/>
          <w:sz w:val="24"/>
          <w:szCs w:val="24"/>
          <w:lang w:eastAsia="es-CO"/>
        </w:rPr>
      </w:pPr>
      <w:r w:rsidRPr="009922EB">
        <w:rPr>
          <w:rFonts w:ascii="Times New Roman" w:eastAsia="Times New Roman" w:hAnsi="Times New Roman" w:cs="Times New Roman"/>
          <w:sz w:val="24"/>
          <w:szCs w:val="24"/>
          <w:lang w:eastAsia="es-CO"/>
        </w:rPr>
        <w:t> </w:t>
      </w:r>
    </w:p>
    <w:p w:rsidR="009922EB" w:rsidRPr="009922EB" w:rsidRDefault="009922EB" w:rsidP="009922EB">
      <w:pPr>
        <w:spacing w:after="0" w:line="240" w:lineRule="auto"/>
        <w:jc w:val="both"/>
        <w:rPr>
          <w:rFonts w:ascii="Times New Roman" w:eastAsia="Times New Roman" w:hAnsi="Times New Roman" w:cs="Times New Roman"/>
          <w:sz w:val="24"/>
          <w:szCs w:val="24"/>
          <w:lang w:eastAsia="es-CO"/>
        </w:rPr>
      </w:pPr>
      <w:r w:rsidRPr="009922EB">
        <w:rPr>
          <w:rFonts w:ascii="Times New Roman" w:eastAsia="Times New Roman" w:hAnsi="Times New Roman" w:cs="Times New Roman"/>
          <w:i/>
          <w:iCs/>
          <w:sz w:val="24"/>
          <w:szCs w:val="24"/>
          <w:u w:val="single"/>
          <w:lang w:eastAsia="es-CO"/>
        </w:rPr>
        <w:t>1. ¿Se puede afectar una renta líquida por recuperación de deducciones con los resultados del ejercicio para llegar a un resultado final neto?</w:t>
      </w:r>
    </w:p>
    <w:p w:rsidR="009922EB" w:rsidRPr="009922EB" w:rsidRDefault="009922EB" w:rsidP="009922EB">
      <w:pPr>
        <w:spacing w:after="0" w:line="240" w:lineRule="auto"/>
        <w:jc w:val="both"/>
        <w:rPr>
          <w:rFonts w:ascii="Times New Roman" w:eastAsia="Times New Roman" w:hAnsi="Times New Roman" w:cs="Times New Roman"/>
          <w:sz w:val="24"/>
          <w:szCs w:val="24"/>
          <w:lang w:eastAsia="es-CO"/>
        </w:rPr>
      </w:pPr>
      <w:r w:rsidRPr="009922EB">
        <w:rPr>
          <w:rFonts w:ascii="Times New Roman" w:eastAsia="Times New Roman" w:hAnsi="Times New Roman" w:cs="Times New Roman"/>
          <w:i/>
          <w:iCs/>
          <w:sz w:val="24"/>
          <w:szCs w:val="24"/>
          <w:u w:val="single"/>
          <w:lang w:eastAsia="es-CO"/>
        </w:rPr>
        <w:t>2. ¿Se puede afectar una renta líquida por recuperación de deducciones por concepto de recuperación de la depreciación solicitada en años anteriores, constituye Renta gravable (renglón 70) u otros ingresos (renglón 49) sin derecho a ser afectado con costo o gasto alguno?</w:t>
      </w:r>
    </w:p>
    <w:p w:rsidR="009922EB" w:rsidRPr="009922EB" w:rsidRDefault="009922EB" w:rsidP="009922EB">
      <w:pPr>
        <w:spacing w:after="0" w:line="240" w:lineRule="auto"/>
        <w:jc w:val="both"/>
        <w:rPr>
          <w:rFonts w:ascii="Times New Roman" w:eastAsia="Times New Roman" w:hAnsi="Times New Roman" w:cs="Times New Roman"/>
          <w:sz w:val="24"/>
          <w:szCs w:val="24"/>
          <w:lang w:eastAsia="es-CO"/>
        </w:rPr>
      </w:pPr>
      <w:r w:rsidRPr="009922EB">
        <w:rPr>
          <w:rFonts w:ascii="Times New Roman" w:eastAsia="Times New Roman" w:hAnsi="Times New Roman" w:cs="Times New Roman"/>
          <w:i/>
          <w:iCs/>
          <w:sz w:val="24"/>
          <w:szCs w:val="24"/>
          <w:u w:val="single"/>
          <w:lang w:eastAsia="es-CO"/>
        </w:rPr>
        <w:t>3. ¿Si se debe llevar en el renglón 49 tal como lo indica la DIAN en el anexo del formulario 110, ¿En caso de una pérdida líquida, como se calcula el impuesto que genera una renta por recuperación de deducciones si el mismo formulario lo suma con los demás ingresos y le detrae todos los costos y gastos del contribuyente</w:t>
      </w:r>
    </w:p>
    <w:p w:rsidR="009922EB" w:rsidRPr="009922EB" w:rsidRDefault="009922EB" w:rsidP="009922EB">
      <w:pPr>
        <w:spacing w:after="0" w:line="240" w:lineRule="auto"/>
        <w:jc w:val="both"/>
        <w:rPr>
          <w:rFonts w:ascii="Times New Roman" w:eastAsia="Times New Roman" w:hAnsi="Times New Roman" w:cs="Times New Roman"/>
          <w:sz w:val="24"/>
          <w:szCs w:val="24"/>
          <w:lang w:eastAsia="es-CO"/>
        </w:rPr>
      </w:pPr>
      <w:r w:rsidRPr="009922EB">
        <w:rPr>
          <w:rFonts w:ascii="Times New Roman" w:eastAsia="Times New Roman" w:hAnsi="Times New Roman" w:cs="Times New Roman"/>
          <w:sz w:val="24"/>
          <w:szCs w:val="24"/>
          <w:lang w:eastAsia="es-CO"/>
        </w:rPr>
        <w:t> </w:t>
      </w:r>
    </w:p>
    <w:p w:rsidR="009922EB" w:rsidRPr="009922EB" w:rsidRDefault="009922EB" w:rsidP="009922EB">
      <w:pPr>
        <w:spacing w:after="0" w:line="240" w:lineRule="auto"/>
        <w:jc w:val="both"/>
        <w:rPr>
          <w:rFonts w:ascii="Times New Roman" w:eastAsia="Times New Roman" w:hAnsi="Times New Roman" w:cs="Times New Roman"/>
          <w:sz w:val="24"/>
          <w:szCs w:val="24"/>
          <w:lang w:eastAsia="es-CO"/>
        </w:rPr>
      </w:pPr>
      <w:r w:rsidRPr="009922EB">
        <w:rPr>
          <w:rFonts w:ascii="Times New Roman" w:eastAsia="Times New Roman" w:hAnsi="Times New Roman" w:cs="Times New Roman"/>
          <w:b/>
          <w:bCs/>
          <w:sz w:val="24"/>
          <w:szCs w:val="24"/>
          <w:lang w:eastAsia="es-CO"/>
        </w:rPr>
        <w:t>Respuestas 1 a 3:</w:t>
      </w:r>
    </w:p>
    <w:p w:rsidR="009922EB" w:rsidRPr="009922EB" w:rsidRDefault="009922EB" w:rsidP="009922EB">
      <w:pPr>
        <w:spacing w:after="0" w:line="240" w:lineRule="auto"/>
        <w:jc w:val="both"/>
        <w:rPr>
          <w:rFonts w:ascii="Times New Roman" w:eastAsia="Times New Roman" w:hAnsi="Times New Roman" w:cs="Times New Roman"/>
          <w:sz w:val="24"/>
          <w:szCs w:val="24"/>
          <w:lang w:eastAsia="es-CO"/>
        </w:rPr>
      </w:pPr>
      <w:r w:rsidRPr="009922EB">
        <w:rPr>
          <w:rFonts w:ascii="Times New Roman" w:eastAsia="Times New Roman" w:hAnsi="Times New Roman" w:cs="Times New Roman"/>
          <w:b/>
          <w:bCs/>
          <w:sz w:val="24"/>
          <w:szCs w:val="24"/>
          <w:lang w:eastAsia="es-CO"/>
        </w:rPr>
        <w:t> </w:t>
      </w:r>
    </w:p>
    <w:p w:rsidR="009922EB" w:rsidRPr="009922EB" w:rsidRDefault="009922EB" w:rsidP="009922EB">
      <w:pPr>
        <w:spacing w:after="0" w:line="240" w:lineRule="auto"/>
        <w:jc w:val="both"/>
        <w:rPr>
          <w:rFonts w:ascii="Times New Roman" w:eastAsia="Times New Roman" w:hAnsi="Times New Roman" w:cs="Times New Roman"/>
          <w:sz w:val="24"/>
          <w:szCs w:val="24"/>
          <w:lang w:eastAsia="es-CO"/>
        </w:rPr>
      </w:pPr>
      <w:r w:rsidRPr="009922EB">
        <w:rPr>
          <w:rFonts w:ascii="Times New Roman" w:eastAsia="Times New Roman" w:hAnsi="Times New Roman" w:cs="Times New Roman"/>
          <w:sz w:val="24"/>
          <w:szCs w:val="24"/>
          <w:lang w:eastAsia="es-CO"/>
        </w:rPr>
        <w:t>El </w:t>
      </w:r>
      <w:hyperlink r:id="rId4" w:tooltip="Estatuto Tributario CETA" w:history="1">
        <w:r w:rsidRPr="009922EB">
          <w:rPr>
            <w:rFonts w:ascii="Times New Roman" w:eastAsia="Times New Roman" w:hAnsi="Times New Roman" w:cs="Times New Roman"/>
            <w:sz w:val="24"/>
            <w:szCs w:val="24"/>
            <w:u w:val="single"/>
            <w:lang w:eastAsia="es-CO"/>
          </w:rPr>
          <w:t>artículo 195</w:t>
        </w:r>
      </w:hyperlink>
      <w:r w:rsidRPr="009922EB">
        <w:rPr>
          <w:rFonts w:ascii="Times New Roman" w:eastAsia="Times New Roman" w:hAnsi="Times New Roman" w:cs="Times New Roman"/>
          <w:sz w:val="24"/>
          <w:szCs w:val="24"/>
          <w:lang w:eastAsia="es-CO"/>
        </w:rPr>
        <w:t> del Estatuto Tributario, establece:</w:t>
      </w:r>
    </w:p>
    <w:p w:rsidR="009922EB" w:rsidRPr="009922EB" w:rsidRDefault="009922EB" w:rsidP="009922EB">
      <w:pPr>
        <w:spacing w:after="0" w:line="240" w:lineRule="auto"/>
        <w:ind w:left="180"/>
        <w:jc w:val="both"/>
        <w:rPr>
          <w:rFonts w:ascii="Times New Roman" w:eastAsia="Times New Roman" w:hAnsi="Times New Roman" w:cs="Times New Roman"/>
          <w:sz w:val="24"/>
          <w:szCs w:val="24"/>
          <w:lang w:eastAsia="es-CO"/>
        </w:rPr>
      </w:pPr>
      <w:r w:rsidRPr="009922EB">
        <w:rPr>
          <w:rFonts w:ascii="Times New Roman" w:eastAsia="Times New Roman" w:hAnsi="Times New Roman" w:cs="Times New Roman"/>
          <w:sz w:val="24"/>
          <w:szCs w:val="24"/>
          <w:lang w:eastAsia="es-CO"/>
        </w:rPr>
        <w:t> </w:t>
      </w:r>
    </w:p>
    <w:p w:rsidR="009922EB" w:rsidRPr="009922EB" w:rsidRDefault="009922EB" w:rsidP="009922EB">
      <w:pPr>
        <w:spacing w:after="0" w:line="240" w:lineRule="auto"/>
        <w:ind w:left="180"/>
        <w:jc w:val="both"/>
        <w:rPr>
          <w:rFonts w:ascii="Times New Roman" w:eastAsia="Times New Roman" w:hAnsi="Times New Roman" w:cs="Times New Roman"/>
          <w:sz w:val="24"/>
          <w:szCs w:val="24"/>
          <w:lang w:eastAsia="es-CO"/>
        </w:rPr>
      </w:pPr>
      <w:r w:rsidRPr="009922EB">
        <w:rPr>
          <w:rFonts w:ascii="Times New Roman" w:eastAsia="Times New Roman" w:hAnsi="Times New Roman" w:cs="Times New Roman"/>
          <w:b/>
          <w:bCs/>
          <w:i/>
          <w:iCs/>
          <w:sz w:val="24"/>
          <w:szCs w:val="24"/>
          <w:lang w:eastAsia="es-CO"/>
        </w:rPr>
        <w:t>“</w:t>
      </w:r>
      <w:r w:rsidRPr="009922EB">
        <w:rPr>
          <w:rFonts w:ascii="Times New Roman" w:eastAsia="Times New Roman" w:hAnsi="Times New Roman" w:cs="Times New Roman"/>
          <w:b/>
          <w:bCs/>
          <w:i/>
          <w:iCs/>
          <w:sz w:val="24"/>
          <w:szCs w:val="24"/>
          <w:u w:val="single"/>
          <w:lang w:eastAsia="es-CO"/>
        </w:rPr>
        <w:t>Constituyen renta líquida</w:t>
      </w:r>
      <w:r w:rsidRPr="009922EB">
        <w:rPr>
          <w:rFonts w:ascii="Times New Roman" w:eastAsia="Times New Roman" w:hAnsi="Times New Roman" w:cs="Times New Roman"/>
          <w:b/>
          <w:bCs/>
          <w:i/>
          <w:iCs/>
          <w:sz w:val="24"/>
          <w:szCs w:val="24"/>
          <w:lang w:eastAsia="es-CO"/>
        </w:rPr>
        <w:t>:</w:t>
      </w:r>
    </w:p>
    <w:p w:rsidR="009922EB" w:rsidRPr="009922EB" w:rsidRDefault="009922EB" w:rsidP="009922EB">
      <w:pPr>
        <w:spacing w:after="0" w:line="240" w:lineRule="auto"/>
        <w:ind w:left="180"/>
        <w:jc w:val="both"/>
        <w:rPr>
          <w:rFonts w:ascii="Times New Roman" w:eastAsia="Times New Roman" w:hAnsi="Times New Roman" w:cs="Times New Roman"/>
          <w:sz w:val="24"/>
          <w:szCs w:val="24"/>
          <w:lang w:eastAsia="es-CO"/>
        </w:rPr>
      </w:pPr>
      <w:r w:rsidRPr="009922EB">
        <w:rPr>
          <w:rFonts w:ascii="Times New Roman" w:eastAsia="Times New Roman" w:hAnsi="Times New Roman" w:cs="Times New Roman"/>
          <w:b/>
          <w:bCs/>
          <w:i/>
          <w:iCs/>
          <w:sz w:val="24"/>
          <w:szCs w:val="24"/>
          <w:lang w:eastAsia="es-CO"/>
        </w:rPr>
        <w:t> </w:t>
      </w:r>
    </w:p>
    <w:p w:rsidR="009922EB" w:rsidRPr="009922EB" w:rsidRDefault="009922EB" w:rsidP="009922EB">
      <w:pPr>
        <w:spacing w:after="0" w:line="240" w:lineRule="auto"/>
        <w:ind w:left="180"/>
        <w:jc w:val="both"/>
        <w:rPr>
          <w:rFonts w:ascii="Times New Roman" w:eastAsia="Times New Roman" w:hAnsi="Times New Roman" w:cs="Times New Roman"/>
          <w:sz w:val="24"/>
          <w:szCs w:val="24"/>
          <w:lang w:eastAsia="es-CO"/>
        </w:rPr>
      </w:pPr>
      <w:r w:rsidRPr="009922EB">
        <w:rPr>
          <w:rFonts w:ascii="Times New Roman" w:eastAsia="Times New Roman" w:hAnsi="Times New Roman" w:cs="Times New Roman"/>
          <w:i/>
          <w:iCs/>
          <w:sz w:val="24"/>
          <w:szCs w:val="24"/>
          <w:lang w:eastAsia="es-CO"/>
        </w:rPr>
        <w:t xml:space="preserve">1. La recuperación de las cantidades concedidas en uno o varios años o períodos gravables como deducción de la renta bruta, por depreciación, pérdida de activos fijos, amortización </w:t>
      </w:r>
      <w:r w:rsidRPr="009922EB">
        <w:rPr>
          <w:rFonts w:ascii="Times New Roman" w:eastAsia="Times New Roman" w:hAnsi="Times New Roman" w:cs="Times New Roman"/>
          <w:i/>
          <w:iCs/>
          <w:sz w:val="24"/>
          <w:szCs w:val="24"/>
          <w:lang w:eastAsia="es-CO"/>
        </w:rPr>
        <w:lastRenderedPageBreak/>
        <w:t>de inversiones, deudas de dudoso o difícil cobro, deudas pérdidas o sin valor, pensiones de jubilación o invalidez, o cualquier otro concepto; hasta concurrencia del monto de la recuperación”.</w:t>
      </w:r>
    </w:p>
    <w:p w:rsidR="009922EB" w:rsidRPr="009922EB" w:rsidRDefault="009922EB" w:rsidP="009922EB">
      <w:pPr>
        <w:spacing w:after="0" w:line="240" w:lineRule="auto"/>
        <w:jc w:val="both"/>
        <w:rPr>
          <w:rFonts w:ascii="Times New Roman" w:eastAsia="Times New Roman" w:hAnsi="Times New Roman" w:cs="Times New Roman"/>
          <w:sz w:val="24"/>
          <w:szCs w:val="24"/>
          <w:lang w:eastAsia="es-CO"/>
        </w:rPr>
      </w:pPr>
      <w:r w:rsidRPr="009922EB">
        <w:rPr>
          <w:rFonts w:ascii="Times New Roman" w:eastAsia="Times New Roman" w:hAnsi="Times New Roman" w:cs="Times New Roman"/>
          <w:i/>
          <w:iCs/>
          <w:sz w:val="24"/>
          <w:szCs w:val="24"/>
          <w:lang w:eastAsia="es-CO"/>
        </w:rPr>
        <w:t> </w:t>
      </w:r>
    </w:p>
    <w:p w:rsidR="009922EB" w:rsidRPr="009922EB" w:rsidRDefault="009922EB" w:rsidP="009922EB">
      <w:pPr>
        <w:spacing w:after="0" w:line="240" w:lineRule="auto"/>
        <w:jc w:val="both"/>
        <w:rPr>
          <w:rFonts w:ascii="Times New Roman" w:eastAsia="Times New Roman" w:hAnsi="Times New Roman" w:cs="Times New Roman"/>
          <w:sz w:val="24"/>
          <w:szCs w:val="24"/>
          <w:lang w:eastAsia="es-CO"/>
        </w:rPr>
      </w:pPr>
      <w:r w:rsidRPr="009922EB">
        <w:rPr>
          <w:rFonts w:ascii="Times New Roman" w:eastAsia="Times New Roman" w:hAnsi="Times New Roman" w:cs="Times New Roman"/>
          <w:sz w:val="24"/>
          <w:szCs w:val="24"/>
          <w:lang w:eastAsia="es-CO"/>
        </w:rPr>
        <w:t>Por su parte, el </w:t>
      </w:r>
      <w:hyperlink r:id="rId5" w:tooltip="Estatuto Tributario CETA" w:history="1">
        <w:r w:rsidRPr="009922EB">
          <w:rPr>
            <w:rFonts w:ascii="Times New Roman" w:eastAsia="Times New Roman" w:hAnsi="Times New Roman" w:cs="Times New Roman"/>
            <w:sz w:val="24"/>
            <w:szCs w:val="24"/>
            <w:u w:val="single"/>
            <w:lang w:eastAsia="es-CO"/>
          </w:rPr>
          <w:t>artículo 196</w:t>
        </w:r>
      </w:hyperlink>
      <w:r w:rsidRPr="009922EB">
        <w:rPr>
          <w:rFonts w:ascii="Times New Roman" w:eastAsia="Times New Roman" w:hAnsi="Times New Roman" w:cs="Times New Roman"/>
          <w:sz w:val="24"/>
          <w:szCs w:val="24"/>
          <w:lang w:eastAsia="es-CO"/>
        </w:rPr>
        <w:t> </w:t>
      </w:r>
      <w:proofErr w:type="spellStart"/>
      <w:r w:rsidRPr="009922EB">
        <w:rPr>
          <w:rFonts w:ascii="Times New Roman" w:eastAsia="Times New Roman" w:hAnsi="Times New Roman" w:cs="Times New Roman"/>
          <w:sz w:val="24"/>
          <w:szCs w:val="24"/>
          <w:lang w:eastAsia="es-CO"/>
        </w:rPr>
        <w:t>ibídem</w:t>
      </w:r>
      <w:proofErr w:type="spellEnd"/>
      <w:r w:rsidRPr="009922EB">
        <w:rPr>
          <w:rFonts w:ascii="Times New Roman" w:eastAsia="Times New Roman" w:hAnsi="Times New Roman" w:cs="Times New Roman"/>
          <w:sz w:val="24"/>
          <w:szCs w:val="24"/>
          <w:lang w:eastAsia="es-CO"/>
        </w:rPr>
        <w:t xml:space="preserve"> al referirse a la renta líquida por recuperación de deducciones en bienes depreciados establece que la utilidad que se genere por la enajenación de un activo fijo depreciable, se debe imputar en primer lugar a la renta líquida obtenida por la recuperación de las deducciones. Por su parte el Consejo de Estado en Sentencia 15722 del 17 de julio de 2008, M.P. Juan Ángel Palacio Hincapié, precisó:</w:t>
      </w:r>
    </w:p>
    <w:p w:rsidR="009922EB" w:rsidRPr="009922EB" w:rsidRDefault="009922EB" w:rsidP="009922EB">
      <w:pPr>
        <w:spacing w:after="0" w:line="240" w:lineRule="auto"/>
        <w:ind w:left="180"/>
        <w:jc w:val="both"/>
        <w:rPr>
          <w:rFonts w:ascii="Times New Roman" w:eastAsia="Times New Roman" w:hAnsi="Times New Roman" w:cs="Times New Roman"/>
          <w:sz w:val="24"/>
          <w:szCs w:val="24"/>
          <w:lang w:eastAsia="es-CO"/>
        </w:rPr>
      </w:pPr>
      <w:r w:rsidRPr="009922EB">
        <w:rPr>
          <w:rFonts w:ascii="Times New Roman" w:eastAsia="Times New Roman" w:hAnsi="Times New Roman" w:cs="Times New Roman"/>
          <w:sz w:val="24"/>
          <w:szCs w:val="24"/>
          <w:lang w:eastAsia="es-CO"/>
        </w:rPr>
        <w:t> </w:t>
      </w:r>
    </w:p>
    <w:p w:rsidR="009922EB" w:rsidRPr="009922EB" w:rsidRDefault="009922EB" w:rsidP="009922EB">
      <w:pPr>
        <w:spacing w:after="0" w:line="240" w:lineRule="auto"/>
        <w:ind w:left="180"/>
        <w:jc w:val="both"/>
        <w:rPr>
          <w:rFonts w:ascii="Times New Roman" w:eastAsia="Times New Roman" w:hAnsi="Times New Roman" w:cs="Times New Roman"/>
          <w:sz w:val="24"/>
          <w:szCs w:val="24"/>
          <w:lang w:eastAsia="es-CO"/>
        </w:rPr>
      </w:pPr>
      <w:r w:rsidRPr="009922EB">
        <w:rPr>
          <w:rFonts w:ascii="Times New Roman" w:eastAsia="Times New Roman" w:hAnsi="Times New Roman" w:cs="Times New Roman"/>
          <w:i/>
          <w:iCs/>
          <w:sz w:val="24"/>
          <w:szCs w:val="24"/>
          <w:lang w:eastAsia="es-CO"/>
        </w:rPr>
        <w:t>“Dentro de las rentas especiales, está la renta por recuperación de deducciones que consiste en que la deducción solicitada por el contribuyente en un período gravable anterior es compensada por la recuperación de la deducción en el año o período gravable de que se trata. Se llama renta líquida especial, por cuanto, se produce sin ningún gasto imputable a esa renta.”.</w:t>
      </w:r>
      <w:r w:rsidRPr="009922EB">
        <w:rPr>
          <w:rFonts w:ascii="Times New Roman" w:eastAsia="Times New Roman" w:hAnsi="Times New Roman" w:cs="Times New Roman"/>
          <w:sz w:val="24"/>
          <w:szCs w:val="24"/>
          <w:lang w:eastAsia="es-CO"/>
        </w:rPr>
        <w:t> (Negrillas fuera de texto).</w:t>
      </w:r>
    </w:p>
    <w:p w:rsidR="009922EB" w:rsidRPr="009922EB" w:rsidRDefault="009922EB" w:rsidP="009922EB">
      <w:pPr>
        <w:spacing w:after="0" w:line="240" w:lineRule="auto"/>
        <w:jc w:val="both"/>
        <w:rPr>
          <w:rFonts w:ascii="Times New Roman" w:eastAsia="Times New Roman" w:hAnsi="Times New Roman" w:cs="Times New Roman"/>
          <w:sz w:val="24"/>
          <w:szCs w:val="24"/>
          <w:lang w:eastAsia="es-CO"/>
        </w:rPr>
      </w:pPr>
      <w:r w:rsidRPr="009922EB">
        <w:rPr>
          <w:rFonts w:ascii="Times New Roman" w:eastAsia="Times New Roman" w:hAnsi="Times New Roman" w:cs="Times New Roman"/>
          <w:sz w:val="24"/>
          <w:szCs w:val="24"/>
          <w:lang w:eastAsia="es-CO"/>
        </w:rPr>
        <w:t> </w:t>
      </w:r>
    </w:p>
    <w:p w:rsidR="009922EB" w:rsidRPr="009922EB" w:rsidRDefault="009922EB" w:rsidP="009922EB">
      <w:pPr>
        <w:spacing w:after="0" w:line="240" w:lineRule="auto"/>
        <w:jc w:val="both"/>
        <w:rPr>
          <w:rFonts w:ascii="Times New Roman" w:eastAsia="Times New Roman" w:hAnsi="Times New Roman" w:cs="Times New Roman"/>
          <w:sz w:val="24"/>
          <w:szCs w:val="24"/>
          <w:lang w:eastAsia="es-CO"/>
        </w:rPr>
      </w:pPr>
      <w:r w:rsidRPr="009922EB">
        <w:rPr>
          <w:rFonts w:ascii="Times New Roman" w:eastAsia="Times New Roman" w:hAnsi="Times New Roman" w:cs="Times New Roman"/>
          <w:sz w:val="24"/>
          <w:szCs w:val="24"/>
          <w:lang w:eastAsia="es-CO"/>
        </w:rPr>
        <w:t>Por otro lado, es importante recalcar que la renta por recuperación de deducciones tiene un tratamiento especial, considerando su calidad de renta especial. Las rentas liquidas especiales se gravan con el impuesto sobre la renta de acuerdo con las normas especiales que establecen el procedimiento para su determinación y no pueden afectarse con costos y deducciones que correspondan a la renta líquida ordinaria.</w:t>
      </w:r>
    </w:p>
    <w:p w:rsidR="009922EB" w:rsidRPr="009922EB" w:rsidRDefault="009922EB" w:rsidP="009922EB">
      <w:pPr>
        <w:spacing w:after="0" w:line="240" w:lineRule="auto"/>
        <w:jc w:val="both"/>
        <w:rPr>
          <w:rFonts w:ascii="Times New Roman" w:eastAsia="Times New Roman" w:hAnsi="Times New Roman" w:cs="Times New Roman"/>
          <w:sz w:val="24"/>
          <w:szCs w:val="24"/>
          <w:lang w:eastAsia="es-CO"/>
        </w:rPr>
      </w:pPr>
      <w:r w:rsidRPr="009922EB">
        <w:rPr>
          <w:rFonts w:ascii="Times New Roman" w:eastAsia="Times New Roman" w:hAnsi="Times New Roman" w:cs="Times New Roman"/>
          <w:sz w:val="24"/>
          <w:szCs w:val="24"/>
          <w:lang w:eastAsia="es-CO"/>
        </w:rPr>
        <w:t> </w:t>
      </w:r>
    </w:p>
    <w:p w:rsidR="009922EB" w:rsidRPr="009922EB" w:rsidRDefault="009922EB" w:rsidP="009922EB">
      <w:pPr>
        <w:spacing w:after="0" w:line="240" w:lineRule="auto"/>
        <w:jc w:val="both"/>
        <w:rPr>
          <w:rFonts w:ascii="Times New Roman" w:eastAsia="Times New Roman" w:hAnsi="Times New Roman" w:cs="Times New Roman"/>
          <w:sz w:val="24"/>
          <w:szCs w:val="24"/>
          <w:lang w:eastAsia="es-CO"/>
        </w:rPr>
      </w:pPr>
      <w:r w:rsidRPr="009922EB">
        <w:rPr>
          <w:rFonts w:ascii="Times New Roman" w:eastAsia="Times New Roman" w:hAnsi="Times New Roman" w:cs="Times New Roman"/>
          <w:sz w:val="24"/>
          <w:szCs w:val="24"/>
          <w:lang w:eastAsia="es-CO"/>
        </w:rPr>
        <w:t>En atención a lo anterior y de acuerdo con el Oficio 52752 de 2005 las rentas líquidas especiales no pueden ser afectadas con los costos y deducciones que corresponden a las rentas líquidas ordinarias, ya que en la obtención de unas y otras los costos y gastos deben guardar estricta relación con la actividad que origina la renta y con su forma de determinación.</w:t>
      </w:r>
    </w:p>
    <w:p w:rsidR="009922EB" w:rsidRPr="009922EB" w:rsidRDefault="009922EB" w:rsidP="009922EB">
      <w:pPr>
        <w:spacing w:after="0" w:line="240" w:lineRule="auto"/>
        <w:jc w:val="both"/>
        <w:rPr>
          <w:rFonts w:ascii="Times New Roman" w:eastAsia="Times New Roman" w:hAnsi="Times New Roman" w:cs="Times New Roman"/>
          <w:sz w:val="24"/>
          <w:szCs w:val="24"/>
          <w:lang w:eastAsia="es-CO"/>
        </w:rPr>
      </w:pPr>
      <w:r w:rsidRPr="009922EB">
        <w:rPr>
          <w:rFonts w:ascii="Times New Roman" w:eastAsia="Times New Roman" w:hAnsi="Times New Roman" w:cs="Times New Roman"/>
          <w:sz w:val="24"/>
          <w:szCs w:val="24"/>
          <w:lang w:eastAsia="es-CO"/>
        </w:rPr>
        <w:t> </w:t>
      </w:r>
    </w:p>
    <w:p w:rsidR="009922EB" w:rsidRPr="009922EB" w:rsidRDefault="009922EB" w:rsidP="009922EB">
      <w:pPr>
        <w:spacing w:after="0" w:line="240" w:lineRule="auto"/>
        <w:jc w:val="both"/>
        <w:rPr>
          <w:rFonts w:ascii="Times New Roman" w:eastAsia="Times New Roman" w:hAnsi="Times New Roman" w:cs="Times New Roman"/>
          <w:sz w:val="24"/>
          <w:szCs w:val="24"/>
          <w:lang w:eastAsia="es-CO"/>
        </w:rPr>
      </w:pPr>
      <w:r w:rsidRPr="009922EB">
        <w:rPr>
          <w:rFonts w:ascii="Times New Roman" w:eastAsia="Times New Roman" w:hAnsi="Times New Roman" w:cs="Times New Roman"/>
          <w:sz w:val="24"/>
          <w:szCs w:val="24"/>
          <w:lang w:eastAsia="es-CO"/>
        </w:rPr>
        <w:t>Con atención a lo referente a las pérdidas liquidas ponemos de presente lo establecido al respecto en el oficio anteriormente mencionado:</w:t>
      </w:r>
    </w:p>
    <w:p w:rsidR="009922EB" w:rsidRPr="009922EB" w:rsidRDefault="009922EB" w:rsidP="009922EB">
      <w:pPr>
        <w:spacing w:after="0" w:line="240" w:lineRule="auto"/>
        <w:ind w:left="180"/>
        <w:jc w:val="both"/>
        <w:rPr>
          <w:rFonts w:ascii="Times New Roman" w:eastAsia="Times New Roman" w:hAnsi="Times New Roman" w:cs="Times New Roman"/>
          <w:sz w:val="24"/>
          <w:szCs w:val="24"/>
          <w:lang w:eastAsia="es-CO"/>
        </w:rPr>
      </w:pPr>
      <w:r w:rsidRPr="009922EB">
        <w:rPr>
          <w:rFonts w:ascii="Times New Roman" w:eastAsia="Times New Roman" w:hAnsi="Times New Roman" w:cs="Times New Roman"/>
          <w:i/>
          <w:iCs/>
          <w:sz w:val="24"/>
          <w:szCs w:val="24"/>
          <w:lang w:eastAsia="es-CO"/>
        </w:rPr>
        <w:t> </w:t>
      </w:r>
    </w:p>
    <w:p w:rsidR="009922EB" w:rsidRPr="009922EB" w:rsidRDefault="009922EB" w:rsidP="009922EB">
      <w:pPr>
        <w:spacing w:after="0" w:line="240" w:lineRule="auto"/>
        <w:ind w:left="180"/>
        <w:jc w:val="both"/>
        <w:rPr>
          <w:rFonts w:ascii="Times New Roman" w:eastAsia="Times New Roman" w:hAnsi="Times New Roman" w:cs="Times New Roman"/>
          <w:sz w:val="24"/>
          <w:szCs w:val="24"/>
          <w:lang w:eastAsia="es-CO"/>
        </w:rPr>
      </w:pPr>
      <w:r w:rsidRPr="009922EB">
        <w:rPr>
          <w:rFonts w:ascii="Times New Roman" w:eastAsia="Times New Roman" w:hAnsi="Times New Roman" w:cs="Times New Roman"/>
          <w:i/>
          <w:iCs/>
          <w:sz w:val="24"/>
          <w:szCs w:val="24"/>
          <w:lang w:eastAsia="es-CO"/>
        </w:rPr>
        <w:t>“El </w:t>
      </w:r>
      <w:hyperlink r:id="rId6" w:tooltip="Estatuto Tributario CETA" w:history="1">
        <w:r w:rsidRPr="009922EB">
          <w:rPr>
            <w:rFonts w:ascii="Times New Roman" w:eastAsia="Times New Roman" w:hAnsi="Times New Roman" w:cs="Times New Roman"/>
            <w:i/>
            <w:iCs/>
            <w:sz w:val="24"/>
            <w:szCs w:val="24"/>
            <w:u w:val="single"/>
            <w:lang w:eastAsia="es-CO"/>
          </w:rPr>
          <w:t>artículo 147</w:t>
        </w:r>
      </w:hyperlink>
      <w:r w:rsidRPr="009922EB">
        <w:rPr>
          <w:rFonts w:ascii="Times New Roman" w:eastAsia="Times New Roman" w:hAnsi="Times New Roman" w:cs="Times New Roman"/>
          <w:i/>
          <w:iCs/>
          <w:sz w:val="24"/>
          <w:szCs w:val="24"/>
          <w:lang w:eastAsia="es-CO"/>
        </w:rPr>
        <w:t> del Estatuto Tributario, modificado por el artículo 24 de la </w:t>
      </w:r>
      <w:r w:rsidRPr="009922EB">
        <w:rPr>
          <w:rFonts w:ascii="Times New Roman" w:eastAsia="Times New Roman" w:hAnsi="Times New Roman" w:cs="Times New Roman"/>
          <w:i/>
          <w:iCs/>
          <w:sz w:val="24"/>
          <w:szCs w:val="24"/>
          <w:u w:val="single"/>
          <w:lang w:eastAsia="es-CO"/>
        </w:rPr>
        <w:t>Ley 788 de 2002</w:t>
      </w:r>
      <w:r w:rsidRPr="009922EB">
        <w:rPr>
          <w:rFonts w:ascii="Times New Roman" w:eastAsia="Times New Roman" w:hAnsi="Times New Roman" w:cs="Times New Roman"/>
          <w:i/>
          <w:iCs/>
          <w:sz w:val="24"/>
          <w:szCs w:val="24"/>
          <w:lang w:eastAsia="es-CO"/>
        </w:rPr>
        <w:t>, dispone que la compensación de pérdidas fiscales ajustadas por inflación puede realizarse con las rentas liquidas ordinarias que obtenga el contribuyente dentro de los ocho períodos gravables siguientes. La norma consagra una limitación que no estaba contemplada antes de la reforma tributaria de 2002 y que consiste en precisar que la compensación debe hacerse no con las rentas del contribuyente (como, en forma general, prescribía la ley anterior) sino con las rentas líquidas ordinarias.</w:t>
      </w:r>
    </w:p>
    <w:p w:rsidR="009922EB" w:rsidRPr="009922EB" w:rsidRDefault="009922EB" w:rsidP="009922EB">
      <w:pPr>
        <w:spacing w:after="0" w:line="240" w:lineRule="auto"/>
        <w:ind w:left="180"/>
        <w:jc w:val="both"/>
        <w:rPr>
          <w:rFonts w:ascii="Times New Roman" w:eastAsia="Times New Roman" w:hAnsi="Times New Roman" w:cs="Times New Roman"/>
          <w:sz w:val="24"/>
          <w:szCs w:val="24"/>
          <w:lang w:eastAsia="es-CO"/>
        </w:rPr>
      </w:pPr>
      <w:r w:rsidRPr="009922EB">
        <w:rPr>
          <w:rFonts w:ascii="Times New Roman" w:eastAsia="Times New Roman" w:hAnsi="Times New Roman" w:cs="Times New Roman"/>
          <w:i/>
          <w:iCs/>
          <w:sz w:val="24"/>
          <w:szCs w:val="24"/>
          <w:lang w:eastAsia="es-CO"/>
        </w:rPr>
        <w:t> </w:t>
      </w:r>
    </w:p>
    <w:p w:rsidR="009922EB" w:rsidRPr="009922EB" w:rsidRDefault="009922EB" w:rsidP="009922EB">
      <w:pPr>
        <w:spacing w:after="0" w:line="240" w:lineRule="auto"/>
        <w:ind w:left="180"/>
        <w:jc w:val="both"/>
        <w:rPr>
          <w:rFonts w:ascii="Times New Roman" w:eastAsia="Times New Roman" w:hAnsi="Times New Roman" w:cs="Times New Roman"/>
          <w:sz w:val="24"/>
          <w:szCs w:val="24"/>
          <w:lang w:eastAsia="es-CO"/>
        </w:rPr>
      </w:pPr>
      <w:r w:rsidRPr="009922EB">
        <w:rPr>
          <w:rFonts w:ascii="Times New Roman" w:eastAsia="Times New Roman" w:hAnsi="Times New Roman" w:cs="Times New Roman"/>
          <w:i/>
          <w:iCs/>
          <w:sz w:val="24"/>
          <w:szCs w:val="24"/>
          <w:lang w:eastAsia="es-CO"/>
        </w:rPr>
        <w:t>Para definir el alcance de la limitación introducida por la </w:t>
      </w:r>
      <w:r w:rsidRPr="009922EB">
        <w:rPr>
          <w:rFonts w:ascii="Times New Roman" w:eastAsia="Times New Roman" w:hAnsi="Times New Roman" w:cs="Times New Roman"/>
          <w:i/>
          <w:iCs/>
          <w:sz w:val="24"/>
          <w:szCs w:val="24"/>
          <w:u w:val="single"/>
          <w:lang w:eastAsia="es-CO"/>
        </w:rPr>
        <w:t>Ley 788 de 2002</w:t>
      </w:r>
      <w:r w:rsidRPr="009922EB">
        <w:rPr>
          <w:rFonts w:ascii="Times New Roman" w:eastAsia="Times New Roman" w:hAnsi="Times New Roman" w:cs="Times New Roman"/>
          <w:i/>
          <w:iCs/>
          <w:sz w:val="24"/>
          <w:szCs w:val="24"/>
          <w:lang w:eastAsia="es-CO"/>
        </w:rPr>
        <w:t> es preciso advertir, en primer lugar, que en Colombia existen dos sistemas para la determinación de la base gravable del impuesto sobre la renta por parte de los contribuyentes como son, la depuración ordinaria prevista en el </w:t>
      </w:r>
      <w:hyperlink r:id="rId7" w:tooltip="Estatuto Tributario CETA" w:history="1">
        <w:r w:rsidRPr="009922EB">
          <w:rPr>
            <w:rFonts w:ascii="Times New Roman" w:eastAsia="Times New Roman" w:hAnsi="Times New Roman" w:cs="Times New Roman"/>
            <w:i/>
            <w:iCs/>
            <w:sz w:val="24"/>
            <w:szCs w:val="24"/>
            <w:u w:val="single"/>
            <w:lang w:eastAsia="es-CO"/>
          </w:rPr>
          <w:t>artículo 26</w:t>
        </w:r>
      </w:hyperlink>
      <w:r w:rsidRPr="009922EB">
        <w:rPr>
          <w:rFonts w:ascii="Times New Roman" w:eastAsia="Times New Roman" w:hAnsi="Times New Roman" w:cs="Times New Roman"/>
          <w:i/>
          <w:iCs/>
          <w:sz w:val="24"/>
          <w:szCs w:val="24"/>
          <w:lang w:eastAsia="es-CO"/>
        </w:rPr>
        <w:t> del Estatuto Tributario y el cálculo de la renta presuntiva, en los términos de los artículos </w:t>
      </w:r>
      <w:hyperlink r:id="rId8" w:tooltip="Estatuto Tributario CETA" w:history="1">
        <w:r w:rsidRPr="009922EB">
          <w:rPr>
            <w:rFonts w:ascii="Times New Roman" w:eastAsia="Times New Roman" w:hAnsi="Times New Roman" w:cs="Times New Roman"/>
            <w:i/>
            <w:iCs/>
            <w:sz w:val="24"/>
            <w:szCs w:val="24"/>
            <w:u w:val="single"/>
            <w:lang w:eastAsia="es-CO"/>
          </w:rPr>
          <w:t>188</w:t>
        </w:r>
      </w:hyperlink>
      <w:r w:rsidRPr="009922EB">
        <w:rPr>
          <w:rFonts w:ascii="Times New Roman" w:eastAsia="Times New Roman" w:hAnsi="Times New Roman" w:cs="Times New Roman"/>
          <w:i/>
          <w:iCs/>
          <w:sz w:val="24"/>
          <w:szCs w:val="24"/>
          <w:lang w:eastAsia="es-CO"/>
        </w:rPr>
        <w:t xml:space="preserve"> y siguientes del mismo ordenamiento jurídico. Los contribuyentes del impuesto sobre la renta obligados a presentar declaración deben efectuar la depuración por el sistema ordinario y calcular, igualmente, la renta presuntiva, aplicando la tarifa del impuesto sobre la base que resulte mayor entre las dos. Particularmente, el sistema ordinario consiste en detraer de la suma de todos los ingresos </w:t>
      </w:r>
      <w:r w:rsidRPr="009922EB">
        <w:rPr>
          <w:rFonts w:ascii="Times New Roman" w:eastAsia="Times New Roman" w:hAnsi="Times New Roman" w:cs="Times New Roman"/>
          <w:i/>
          <w:iCs/>
          <w:sz w:val="24"/>
          <w:szCs w:val="24"/>
          <w:lang w:eastAsia="es-CO"/>
        </w:rPr>
        <w:lastRenderedPageBreak/>
        <w:t>ordinarios y extraordinarios, realizados en el año o período gravable, los costos imputables a tales ingresos, con el fin de obtener la renta bruta; de la renta bruta se restan las deducciones realizadas, con lo cual se obtiene la renta líquida que, salvo las excepciones legales, es renta gravable y sobre ella se aplican las tarifas señaladas en la ley.</w:t>
      </w:r>
    </w:p>
    <w:p w:rsidR="009922EB" w:rsidRPr="009922EB" w:rsidRDefault="009922EB" w:rsidP="009922EB">
      <w:pPr>
        <w:spacing w:after="0" w:line="240" w:lineRule="auto"/>
        <w:ind w:left="180"/>
        <w:jc w:val="both"/>
        <w:rPr>
          <w:rFonts w:ascii="Times New Roman" w:eastAsia="Times New Roman" w:hAnsi="Times New Roman" w:cs="Times New Roman"/>
          <w:sz w:val="24"/>
          <w:szCs w:val="24"/>
          <w:lang w:eastAsia="es-CO"/>
        </w:rPr>
      </w:pPr>
      <w:r w:rsidRPr="009922EB">
        <w:rPr>
          <w:rFonts w:ascii="Times New Roman" w:eastAsia="Times New Roman" w:hAnsi="Times New Roman" w:cs="Times New Roman"/>
          <w:i/>
          <w:iCs/>
          <w:sz w:val="24"/>
          <w:szCs w:val="24"/>
          <w:lang w:eastAsia="es-CO"/>
        </w:rPr>
        <w:t> </w:t>
      </w:r>
    </w:p>
    <w:p w:rsidR="009922EB" w:rsidRPr="009922EB" w:rsidRDefault="009922EB" w:rsidP="009922EB">
      <w:pPr>
        <w:spacing w:after="0" w:line="240" w:lineRule="auto"/>
        <w:ind w:left="180"/>
        <w:jc w:val="both"/>
        <w:rPr>
          <w:rFonts w:ascii="Times New Roman" w:eastAsia="Times New Roman" w:hAnsi="Times New Roman" w:cs="Times New Roman"/>
          <w:sz w:val="24"/>
          <w:szCs w:val="24"/>
          <w:lang w:eastAsia="es-CO"/>
        </w:rPr>
      </w:pPr>
      <w:r w:rsidRPr="009922EB">
        <w:rPr>
          <w:rFonts w:ascii="Times New Roman" w:eastAsia="Times New Roman" w:hAnsi="Times New Roman" w:cs="Times New Roman"/>
          <w:i/>
          <w:iCs/>
          <w:sz w:val="24"/>
          <w:szCs w:val="24"/>
          <w:lang w:eastAsia="es-CO"/>
        </w:rPr>
        <w:t>Ahora bien, independientemente de que algunas rentas se califiquen como especiales, atendiendo a su naturaleza y a su forma de determinación, ello no significa que no hacen parte del sistema ordinario de depuración previsto en el </w:t>
      </w:r>
      <w:hyperlink r:id="rId9" w:tooltip="Estatuto Tributario CETA" w:history="1">
        <w:r w:rsidRPr="009922EB">
          <w:rPr>
            <w:rFonts w:ascii="Times New Roman" w:eastAsia="Times New Roman" w:hAnsi="Times New Roman" w:cs="Times New Roman"/>
            <w:i/>
            <w:iCs/>
            <w:sz w:val="24"/>
            <w:szCs w:val="24"/>
            <w:u w:val="single"/>
            <w:lang w:eastAsia="es-CO"/>
          </w:rPr>
          <w:t>artículo 26</w:t>
        </w:r>
      </w:hyperlink>
      <w:r w:rsidRPr="009922EB">
        <w:rPr>
          <w:rFonts w:ascii="Times New Roman" w:eastAsia="Times New Roman" w:hAnsi="Times New Roman" w:cs="Times New Roman"/>
          <w:i/>
          <w:iCs/>
          <w:sz w:val="24"/>
          <w:szCs w:val="24"/>
          <w:lang w:eastAsia="es-CO"/>
        </w:rPr>
        <w:t> del Estatuto Tributario. En otras palabras, las rentas líquidas especiales, si bien se determinan de manera especial, no son ajenas al proceso ordinario de depuración y deben consolidarse con la renta ordinaria, para obtener un solo resultado que es la renta líquida gravable.</w:t>
      </w:r>
    </w:p>
    <w:p w:rsidR="009922EB" w:rsidRPr="009922EB" w:rsidRDefault="009922EB" w:rsidP="009922EB">
      <w:pPr>
        <w:spacing w:after="0" w:line="240" w:lineRule="auto"/>
        <w:ind w:left="180"/>
        <w:jc w:val="both"/>
        <w:rPr>
          <w:rFonts w:ascii="Times New Roman" w:eastAsia="Times New Roman" w:hAnsi="Times New Roman" w:cs="Times New Roman"/>
          <w:sz w:val="24"/>
          <w:szCs w:val="24"/>
          <w:lang w:eastAsia="es-CO"/>
        </w:rPr>
      </w:pPr>
      <w:r w:rsidRPr="009922EB">
        <w:rPr>
          <w:rFonts w:ascii="Times New Roman" w:eastAsia="Times New Roman" w:hAnsi="Times New Roman" w:cs="Times New Roman"/>
          <w:i/>
          <w:iCs/>
          <w:sz w:val="24"/>
          <w:szCs w:val="24"/>
          <w:lang w:eastAsia="es-CO"/>
        </w:rPr>
        <w:t> </w:t>
      </w:r>
    </w:p>
    <w:p w:rsidR="009922EB" w:rsidRPr="009922EB" w:rsidRDefault="009922EB" w:rsidP="009922EB">
      <w:pPr>
        <w:spacing w:after="0" w:line="240" w:lineRule="auto"/>
        <w:ind w:left="180"/>
        <w:jc w:val="both"/>
        <w:rPr>
          <w:rFonts w:ascii="Times New Roman" w:eastAsia="Times New Roman" w:hAnsi="Times New Roman" w:cs="Times New Roman"/>
          <w:sz w:val="24"/>
          <w:szCs w:val="24"/>
          <w:lang w:eastAsia="es-CO"/>
        </w:rPr>
      </w:pPr>
      <w:r w:rsidRPr="009922EB">
        <w:rPr>
          <w:rFonts w:ascii="Times New Roman" w:eastAsia="Times New Roman" w:hAnsi="Times New Roman" w:cs="Times New Roman"/>
          <w:i/>
          <w:iCs/>
          <w:sz w:val="24"/>
          <w:szCs w:val="24"/>
          <w:lang w:eastAsia="es-CO"/>
        </w:rPr>
        <w:t>En este sentido, para efectos de la limitación introducida por la </w:t>
      </w:r>
      <w:r w:rsidRPr="009922EB">
        <w:rPr>
          <w:rFonts w:ascii="Times New Roman" w:eastAsia="Times New Roman" w:hAnsi="Times New Roman" w:cs="Times New Roman"/>
          <w:i/>
          <w:iCs/>
          <w:sz w:val="24"/>
          <w:szCs w:val="24"/>
          <w:u w:val="single"/>
          <w:lang w:eastAsia="es-CO"/>
        </w:rPr>
        <w:t>Ley 788 de 2002</w:t>
      </w:r>
      <w:r w:rsidRPr="009922EB">
        <w:rPr>
          <w:rFonts w:ascii="Times New Roman" w:eastAsia="Times New Roman" w:hAnsi="Times New Roman" w:cs="Times New Roman"/>
          <w:i/>
          <w:iCs/>
          <w:sz w:val="24"/>
          <w:szCs w:val="24"/>
          <w:lang w:eastAsia="es-CO"/>
        </w:rPr>
        <w:t> al texto del </w:t>
      </w:r>
      <w:hyperlink r:id="rId10" w:tooltip="Estatuto Tributario CETA" w:history="1">
        <w:r w:rsidRPr="009922EB">
          <w:rPr>
            <w:rFonts w:ascii="Times New Roman" w:eastAsia="Times New Roman" w:hAnsi="Times New Roman" w:cs="Times New Roman"/>
            <w:i/>
            <w:iCs/>
            <w:sz w:val="24"/>
            <w:szCs w:val="24"/>
            <w:u w:val="single"/>
            <w:lang w:eastAsia="es-CO"/>
          </w:rPr>
          <w:t>artículo 147</w:t>
        </w:r>
      </w:hyperlink>
      <w:r w:rsidRPr="009922EB">
        <w:rPr>
          <w:rFonts w:ascii="Times New Roman" w:eastAsia="Times New Roman" w:hAnsi="Times New Roman" w:cs="Times New Roman"/>
          <w:i/>
          <w:iCs/>
          <w:sz w:val="24"/>
          <w:szCs w:val="24"/>
          <w:lang w:eastAsia="es-CO"/>
        </w:rPr>
        <w:t> del Estatuto Tributario, se entiende que las rentas líquidas ordinarias a que hace referencia la norma son aquellas obtenidas por el sistema ordinario de depuración; es decir, que la ley solo autoriza la compensación de las pérdidas fiscales con la renta ordinaria obtenida de acuerdo con lo dispuesto en el </w:t>
      </w:r>
      <w:hyperlink r:id="rId11" w:tooltip="Estatuto Tributario CETA" w:history="1">
        <w:r w:rsidRPr="009922EB">
          <w:rPr>
            <w:rFonts w:ascii="Times New Roman" w:eastAsia="Times New Roman" w:hAnsi="Times New Roman" w:cs="Times New Roman"/>
            <w:i/>
            <w:iCs/>
            <w:sz w:val="24"/>
            <w:szCs w:val="24"/>
            <w:u w:val="single"/>
            <w:lang w:eastAsia="es-CO"/>
          </w:rPr>
          <w:t>artículo 26</w:t>
        </w:r>
      </w:hyperlink>
      <w:r w:rsidRPr="009922EB">
        <w:rPr>
          <w:rFonts w:ascii="Times New Roman" w:eastAsia="Times New Roman" w:hAnsi="Times New Roman" w:cs="Times New Roman"/>
          <w:i/>
          <w:iCs/>
          <w:sz w:val="24"/>
          <w:szCs w:val="24"/>
          <w:lang w:eastAsia="es-CO"/>
        </w:rPr>
        <w:t> y excluye de esa afectación con pérdidas fiscales de períodos anteriores a la renta presuntiva. Por esta razón, en tanto que las llamadas "rentas líquidas especiales" (como es el caso de la renta por recuperación de deducciones y las rentas derivadas de contratos de servicios autónomos) hacen parte del sistema ordinario de depuración de la base gravable del impuesto, es viable concluir que sí pueden afectarse con pérdidas fiscales, en los términos de lo previsto en el </w:t>
      </w:r>
      <w:hyperlink r:id="rId12" w:tooltip="Estatuto Tributario CETA" w:history="1">
        <w:r w:rsidRPr="009922EB">
          <w:rPr>
            <w:rFonts w:ascii="Times New Roman" w:eastAsia="Times New Roman" w:hAnsi="Times New Roman" w:cs="Times New Roman"/>
            <w:i/>
            <w:iCs/>
            <w:sz w:val="24"/>
            <w:szCs w:val="24"/>
            <w:u w:val="single"/>
            <w:lang w:eastAsia="es-CO"/>
          </w:rPr>
          <w:t>artículo 147</w:t>
        </w:r>
      </w:hyperlink>
      <w:r w:rsidRPr="009922EB">
        <w:rPr>
          <w:rFonts w:ascii="Times New Roman" w:eastAsia="Times New Roman" w:hAnsi="Times New Roman" w:cs="Times New Roman"/>
          <w:i/>
          <w:iCs/>
          <w:sz w:val="24"/>
          <w:szCs w:val="24"/>
          <w:lang w:eastAsia="es-CO"/>
        </w:rPr>
        <w:t> del Estatuto Tributario"</w:t>
      </w:r>
    </w:p>
    <w:p w:rsidR="009922EB" w:rsidRPr="009922EB" w:rsidRDefault="009922EB" w:rsidP="009922EB">
      <w:pPr>
        <w:spacing w:after="0" w:line="240" w:lineRule="auto"/>
        <w:jc w:val="both"/>
        <w:rPr>
          <w:rFonts w:ascii="Times New Roman" w:eastAsia="Times New Roman" w:hAnsi="Times New Roman" w:cs="Times New Roman"/>
          <w:sz w:val="24"/>
          <w:szCs w:val="24"/>
          <w:lang w:eastAsia="es-CO"/>
        </w:rPr>
      </w:pPr>
      <w:r w:rsidRPr="009922EB">
        <w:rPr>
          <w:rFonts w:ascii="Times New Roman" w:eastAsia="Times New Roman" w:hAnsi="Times New Roman" w:cs="Times New Roman"/>
          <w:sz w:val="24"/>
          <w:szCs w:val="24"/>
          <w:lang w:eastAsia="es-CO"/>
        </w:rPr>
        <w:t> </w:t>
      </w:r>
    </w:p>
    <w:p w:rsidR="009922EB" w:rsidRPr="009922EB" w:rsidRDefault="009922EB" w:rsidP="009922EB">
      <w:pPr>
        <w:spacing w:after="0" w:line="240" w:lineRule="auto"/>
        <w:jc w:val="both"/>
        <w:rPr>
          <w:rFonts w:ascii="Times New Roman" w:eastAsia="Times New Roman" w:hAnsi="Times New Roman" w:cs="Times New Roman"/>
          <w:sz w:val="24"/>
          <w:szCs w:val="24"/>
          <w:lang w:eastAsia="es-CO"/>
        </w:rPr>
      </w:pPr>
    </w:p>
    <w:p w:rsidR="009922EB" w:rsidRPr="009922EB" w:rsidRDefault="009922EB" w:rsidP="009922EB">
      <w:pPr>
        <w:spacing w:after="0" w:line="240" w:lineRule="auto"/>
        <w:jc w:val="both"/>
        <w:rPr>
          <w:rFonts w:ascii="Times New Roman" w:eastAsia="Times New Roman" w:hAnsi="Times New Roman" w:cs="Times New Roman"/>
          <w:sz w:val="24"/>
          <w:szCs w:val="24"/>
          <w:lang w:eastAsia="es-CO"/>
        </w:rPr>
      </w:pPr>
    </w:p>
    <w:p w:rsidR="009922EB" w:rsidRPr="009922EB" w:rsidRDefault="009922EB" w:rsidP="009922EB">
      <w:pPr>
        <w:spacing w:after="0" w:line="240" w:lineRule="auto"/>
        <w:jc w:val="both"/>
        <w:rPr>
          <w:rFonts w:ascii="Times New Roman" w:eastAsia="Times New Roman" w:hAnsi="Times New Roman" w:cs="Times New Roman"/>
          <w:sz w:val="24"/>
          <w:szCs w:val="24"/>
          <w:lang w:eastAsia="es-CO"/>
        </w:rPr>
      </w:pPr>
    </w:p>
    <w:p w:rsidR="009922EB" w:rsidRPr="009922EB" w:rsidRDefault="009922EB" w:rsidP="009922EB">
      <w:pPr>
        <w:spacing w:after="0" w:line="240" w:lineRule="auto"/>
        <w:jc w:val="both"/>
        <w:rPr>
          <w:rFonts w:ascii="Times New Roman" w:eastAsia="Times New Roman" w:hAnsi="Times New Roman" w:cs="Times New Roman"/>
          <w:sz w:val="24"/>
          <w:szCs w:val="24"/>
          <w:lang w:eastAsia="es-CO"/>
        </w:rPr>
      </w:pPr>
    </w:p>
    <w:p w:rsidR="009922EB" w:rsidRPr="009922EB" w:rsidRDefault="009922EB" w:rsidP="009922EB">
      <w:pPr>
        <w:spacing w:after="0" w:line="240" w:lineRule="auto"/>
        <w:jc w:val="both"/>
        <w:rPr>
          <w:rFonts w:ascii="Times New Roman" w:eastAsia="Times New Roman" w:hAnsi="Times New Roman" w:cs="Times New Roman"/>
          <w:sz w:val="24"/>
          <w:szCs w:val="24"/>
          <w:lang w:eastAsia="es-CO"/>
        </w:rPr>
      </w:pPr>
      <w:r w:rsidRPr="009922EB">
        <w:rPr>
          <w:rFonts w:ascii="Times New Roman" w:eastAsia="Times New Roman" w:hAnsi="Times New Roman" w:cs="Times New Roman"/>
          <w:sz w:val="24"/>
          <w:szCs w:val="24"/>
          <w:lang w:eastAsia="es-CO"/>
        </w:rPr>
        <w:t>Atentamente,</w:t>
      </w:r>
    </w:p>
    <w:p w:rsidR="009922EB" w:rsidRPr="009922EB" w:rsidRDefault="009922EB" w:rsidP="009922EB">
      <w:pPr>
        <w:spacing w:after="0" w:line="240" w:lineRule="auto"/>
        <w:jc w:val="both"/>
        <w:rPr>
          <w:rFonts w:ascii="Times New Roman" w:eastAsia="Times New Roman" w:hAnsi="Times New Roman" w:cs="Times New Roman"/>
          <w:sz w:val="24"/>
          <w:szCs w:val="24"/>
          <w:lang w:eastAsia="es-CO"/>
        </w:rPr>
      </w:pPr>
      <w:r w:rsidRPr="009922EB">
        <w:rPr>
          <w:rFonts w:ascii="Times New Roman" w:eastAsia="Times New Roman" w:hAnsi="Times New Roman" w:cs="Times New Roman"/>
          <w:sz w:val="24"/>
          <w:szCs w:val="24"/>
          <w:lang w:eastAsia="es-CO"/>
        </w:rPr>
        <w:t> </w:t>
      </w:r>
    </w:p>
    <w:p w:rsidR="009922EB" w:rsidRPr="009922EB" w:rsidRDefault="009922EB" w:rsidP="009922EB">
      <w:pPr>
        <w:spacing w:after="0" w:line="240" w:lineRule="auto"/>
        <w:jc w:val="both"/>
        <w:rPr>
          <w:rFonts w:ascii="Times New Roman" w:eastAsia="Times New Roman" w:hAnsi="Times New Roman" w:cs="Times New Roman"/>
          <w:sz w:val="24"/>
          <w:szCs w:val="24"/>
          <w:lang w:eastAsia="es-CO"/>
        </w:rPr>
      </w:pPr>
      <w:r w:rsidRPr="009922EB">
        <w:rPr>
          <w:rFonts w:ascii="Times New Roman" w:eastAsia="Times New Roman" w:hAnsi="Times New Roman" w:cs="Times New Roman"/>
          <w:sz w:val="24"/>
          <w:szCs w:val="24"/>
          <w:lang w:eastAsia="es-CO"/>
        </w:rPr>
        <w:t> </w:t>
      </w:r>
    </w:p>
    <w:p w:rsidR="009922EB" w:rsidRPr="009922EB" w:rsidRDefault="009922EB" w:rsidP="009922EB">
      <w:pPr>
        <w:spacing w:after="0" w:line="240" w:lineRule="auto"/>
        <w:jc w:val="both"/>
        <w:rPr>
          <w:rFonts w:ascii="Times New Roman" w:eastAsia="Times New Roman" w:hAnsi="Times New Roman" w:cs="Times New Roman"/>
          <w:sz w:val="24"/>
          <w:szCs w:val="24"/>
          <w:lang w:eastAsia="es-CO"/>
        </w:rPr>
      </w:pPr>
      <w:r w:rsidRPr="009922EB">
        <w:rPr>
          <w:rFonts w:ascii="Times New Roman" w:eastAsia="Times New Roman" w:hAnsi="Times New Roman" w:cs="Times New Roman"/>
          <w:b/>
          <w:bCs/>
          <w:sz w:val="24"/>
          <w:szCs w:val="24"/>
          <w:lang w:eastAsia="es-CO"/>
        </w:rPr>
        <w:t>LORENZO CASTILLO BARVO</w:t>
      </w:r>
    </w:p>
    <w:p w:rsidR="009922EB" w:rsidRPr="009922EB" w:rsidRDefault="009922EB" w:rsidP="009922EB">
      <w:pPr>
        <w:spacing w:after="0" w:line="240" w:lineRule="auto"/>
        <w:jc w:val="both"/>
        <w:rPr>
          <w:rFonts w:ascii="Times New Roman" w:eastAsia="Times New Roman" w:hAnsi="Times New Roman" w:cs="Times New Roman"/>
          <w:sz w:val="24"/>
          <w:szCs w:val="24"/>
          <w:lang w:eastAsia="es-CO"/>
        </w:rPr>
      </w:pPr>
      <w:r w:rsidRPr="009922EB">
        <w:rPr>
          <w:rFonts w:ascii="Times New Roman" w:eastAsia="Times New Roman" w:hAnsi="Times New Roman" w:cs="Times New Roman"/>
          <w:sz w:val="24"/>
          <w:szCs w:val="24"/>
          <w:lang w:eastAsia="es-CO"/>
        </w:rPr>
        <w:t>Subdirector de Gestión Normativa y Doctrina (E)</w:t>
      </w:r>
    </w:p>
    <w:p w:rsidR="009922EB" w:rsidRPr="009922EB" w:rsidRDefault="009922EB" w:rsidP="009922EB">
      <w:pPr>
        <w:spacing w:after="0" w:line="240" w:lineRule="auto"/>
        <w:jc w:val="both"/>
        <w:rPr>
          <w:rFonts w:ascii="Times New Roman" w:eastAsia="Times New Roman" w:hAnsi="Times New Roman" w:cs="Times New Roman"/>
          <w:sz w:val="24"/>
          <w:szCs w:val="24"/>
          <w:lang w:eastAsia="es-CO"/>
        </w:rPr>
      </w:pPr>
      <w:r w:rsidRPr="009922EB">
        <w:rPr>
          <w:rFonts w:ascii="Times New Roman" w:eastAsia="Times New Roman" w:hAnsi="Times New Roman" w:cs="Times New Roman"/>
          <w:sz w:val="24"/>
          <w:szCs w:val="24"/>
          <w:lang w:eastAsia="es-CO"/>
        </w:rPr>
        <w:t>Dirección de Gestión Jurídica</w:t>
      </w:r>
    </w:p>
    <w:p w:rsidR="009922EB" w:rsidRPr="009922EB" w:rsidRDefault="009922EB" w:rsidP="009922EB">
      <w:pPr>
        <w:spacing w:after="0" w:line="240" w:lineRule="auto"/>
        <w:jc w:val="both"/>
        <w:rPr>
          <w:rFonts w:ascii="Times New Roman" w:eastAsia="Times New Roman" w:hAnsi="Times New Roman" w:cs="Times New Roman"/>
          <w:sz w:val="24"/>
          <w:szCs w:val="24"/>
          <w:lang w:eastAsia="es-CO"/>
        </w:rPr>
      </w:pPr>
      <w:r w:rsidRPr="009922EB">
        <w:rPr>
          <w:rFonts w:ascii="Times New Roman" w:eastAsia="Times New Roman" w:hAnsi="Times New Roman" w:cs="Times New Roman"/>
          <w:sz w:val="24"/>
          <w:szCs w:val="24"/>
          <w:lang w:eastAsia="es-CO"/>
        </w:rPr>
        <w:t>UAE-Dirección de Impuestos y Aduanas Nacionales</w:t>
      </w:r>
    </w:p>
    <w:p w:rsidR="005F4EE7" w:rsidRPr="009922EB" w:rsidRDefault="005F4EE7">
      <w:pPr>
        <w:rPr>
          <w:rFonts w:ascii="Times New Roman" w:hAnsi="Times New Roman" w:cs="Times New Roman"/>
          <w:sz w:val="24"/>
          <w:szCs w:val="24"/>
        </w:rPr>
      </w:pPr>
    </w:p>
    <w:sectPr w:rsidR="005F4EE7" w:rsidRPr="009922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2EB"/>
    <w:rsid w:val="000F3821"/>
    <w:rsid w:val="005F4EE7"/>
    <w:rsid w:val="009922E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646A2"/>
  <w15:chartTrackingRefBased/>
  <w15:docId w15:val="{18E96FE3-2F7F-4588-A49B-0737A96B8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9922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966070">
      <w:bodyDiv w:val="1"/>
      <w:marLeft w:val="0"/>
      <w:marRight w:val="0"/>
      <w:marTop w:val="0"/>
      <w:marBottom w:val="0"/>
      <w:divBdr>
        <w:top w:val="none" w:sz="0" w:space="0" w:color="auto"/>
        <w:left w:val="none" w:sz="0" w:space="0" w:color="auto"/>
        <w:bottom w:val="none" w:sz="0" w:space="0" w:color="auto"/>
        <w:right w:val="none" w:sz="0" w:space="0" w:color="auto"/>
      </w:divBdr>
    </w:div>
    <w:div w:id="255290633">
      <w:bodyDiv w:val="1"/>
      <w:marLeft w:val="0"/>
      <w:marRight w:val="0"/>
      <w:marTop w:val="0"/>
      <w:marBottom w:val="0"/>
      <w:divBdr>
        <w:top w:val="none" w:sz="0" w:space="0" w:color="auto"/>
        <w:left w:val="none" w:sz="0" w:space="0" w:color="auto"/>
        <w:bottom w:val="none" w:sz="0" w:space="0" w:color="auto"/>
        <w:right w:val="none" w:sz="0" w:space="0" w:color="auto"/>
      </w:divBdr>
    </w:div>
    <w:div w:id="520751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252"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ceta.org.co/html/vista_de_un_articulo.asp?Norma=56" TargetMode="External"/><Relationship Id="rId12" Type="http://schemas.openxmlformats.org/officeDocument/2006/relationships/hyperlink" Target="https://www.ceta.org.co/html/vista_de_un_articulo.asp?Norma=20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eta.org.co/html/vista_de_un_articulo.asp?Norma=209" TargetMode="External"/><Relationship Id="rId11" Type="http://schemas.openxmlformats.org/officeDocument/2006/relationships/hyperlink" Target="https://www.ceta.org.co/html/vista_de_un_articulo.asp?Norma=56" TargetMode="External"/><Relationship Id="rId5" Type="http://schemas.openxmlformats.org/officeDocument/2006/relationships/hyperlink" Target="https://www.ceta.org.co/html/vista_de_un_articulo.asp?Norma=261" TargetMode="External"/><Relationship Id="rId10" Type="http://schemas.openxmlformats.org/officeDocument/2006/relationships/hyperlink" Target="https://www.ceta.org.co/html/vista_de_un_articulo.asp?Norma=209" TargetMode="External"/><Relationship Id="rId4" Type="http://schemas.openxmlformats.org/officeDocument/2006/relationships/hyperlink" Target="https://www.ceta.org.co/html/vista_de_un_articulo.asp?Norma=260" TargetMode="External"/><Relationship Id="rId9" Type="http://schemas.openxmlformats.org/officeDocument/2006/relationships/hyperlink" Target="https://www.ceta.org.co/html/vista_de_un_articulo.asp?Norma=56"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1278</Words>
  <Characters>7032</Characters>
  <Application>Microsoft Office Word</Application>
  <DocSecurity>0</DocSecurity>
  <Lines>58</Lines>
  <Paragraphs>16</Paragraphs>
  <ScaleCrop>false</ScaleCrop>
  <Company/>
  <LinksUpToDate>false</LinksUpToDate>
  <CharactersWithSpaces>8294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CNETCO</dc:creator>
  <cp:keywords/>
  <dc:description/>
  <cp:lastModifiedBy>CNETCO</cp:lastModifiedBy>
  <cp:revision>2</cp:revision>
  <dcterms:created xsi:type="dcterms:W3CDTF">2019-09-28T00:26:00Z</dcterms:created>
  <dcterms:modified xsi:type="dcterms:W3CDTF">2019-09-28T00:26:00Z</dcterms:modified>
</cp:coreProperties>
</file>